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Pr="009378DF" w:rsidRDefault="00EB72C1" w:rsidP="00EB72C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 w:rsidR="00C47675">
        <w:rPr>
          <w:rFonts w:ascii="彩虹粗仿宋" w:eastAsia="彩虹粗仿宋" w:hint="eastAsia"/>
          <w:b/>
          <w:color w:val="000000"/>
          <w:sz w:val="32"/>
          <w:szCs w:val="32"/>
        </w:rPr>
        <w:t>9</w:t>
      </w:r>
    </w:p>
    <w:p w:rsidR="00EB72C1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</w:t>
      </w:r>
      <w:r w:rsidR="00D77F41">
        <w:rPr>
          <w:rFonts w:hint="eastAsia"/>
          <w:b/>
          <w:color w:val="000000"/>
          <w:sz w:val="32"/>
          <w:szCs w:val="32"/>
        </w:rPr>
        <w:t>乐</w:t>
      </w:r>
      <w:r w:rsidRPr="009378DF">
        <w:rPr>
          <w:rFonts w:hint="eastAsia"/>
          <w:b/>
          <w:color w:val="000000"/>
          <w:sz w:val="32"/>
          <w:szCs w:val="32"/>
        </w:rPr>
        <w:t>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D77F41" w:rsidP="00EB72C1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（个人</w:t>
      </w:r>
      <w:r w:rsidR="00EB72C1" w:rsidRPr="009378DF">
        <w:rPr>
          <w:rFonts w:hint="eastAsia"/>
          <w:b/>
          <w:color w:val="000000"/>
          <w:sz w:val="32"/>
          <w:szCs w:val="32"/>
        </w:rPr>
        <w:t>版）</w:t>
      </w:r>
      <w:r w:rsidR="00EB72C1"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F16B8B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D4084D">
        <w:rPr>
          <w:rFonts w:ascii="宋体" w:hAnsi="宋体" w:hint="eastAsia"/>
          <w:color w:val="000000"/>
          <w:szCs w:val="21"/>
        </w:rPr>
        <w:t>10</w:t>
      </w:r>
      <w:r>
        <w:rPr>
          <w:rFonts w:ascii="宋体" w:hAnsi="宋体" w:hint="eastAsia"/>
          <w:color w:val="000000"/>
          <w:szCs w:val="21"/>
        </w:rPr>
        <w:t>月</w:t>
      </w:r>
      <w:r w:rsidR="00D4084D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D77F41" w:rsidP="005F6A0F">
      <w:pPr>
        <w:ind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“乾元—乐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溢”</w:t>
      </w:r>
      <w:r w:rsidR="00EB72C1">
        <w:rPr>
          <w:rFonts w:ascii="宋体" w:hAnsi="宋体" w:hint="eastAsia"/>
          <w:color w:val="000000"/>
          <w:sz w:val="28"/>
          <w:szCs w:val="28"/>
        </w:rPr>
        <w:t>9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</w:t>
      </w:r>
      <w:r>
        <w:rPr>
          <w:rFonts w:ascii="宋体" w:hAnsi="宋体" w:hint="eastAsia"/>
          <w:color w:val="000000"/>
          <w:sz w:val="28"/>
          <w:szCs w:val="28"/>
        </w:rPr>
        <w:t>个人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版）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14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D4084D" w:rsidRPr="00D4084D">
        <w:rPr>
          <w:rFonts w:ascii="宋体" w:hAnsi="宋体" w:hint="eastAsia"/>
          <w:color w:val="000000"/>
          <w:sz w:val="28"/>
          <w:szCs w:val="28"/>
        </w:rPr>
        <w:t>4,058,857,800.00</w:t>
      </w:r>
      <w:r w:rsidR="00EB72C1" w:rsidRPr="00F92C32">
        <w:rPr>
          <w:rFonts w:ascii="宋体" w:hAnsi="宋体" w:hint="eastAsia"/>
          <w:color w:val="000000"/>
          <w:sz w:val="28"/>
          <w:szCs w:val="28"/>
        </w:rPr>
        <w:t>元。</w:t>
      </w:r>
    </w:p>
    <w:p w:rsidR="00EB72C1" w:rsidRPr="00F315E7" w:rsidRDefault="00EB72C1" w:rsidP="00F315E7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F315E7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D4084D" w:rsidRPr="00D4084D" w:rsidRDefault="00D4084D" w:rsidP="00D4084D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中国建设银行</w:t>
      </w:r>
      <w:r w:rsidRPr="00D4084D">
        <w:rPr>
          <w:rFonts w:ascii="宋体" w:hAnsi="宋体" w:hint="eastAsia"/>
          <w:color w:val="000000"/>
          <w:sz w:val="28"/>
          <w:szCs w:val="28"/>
        </w:rPr>
        <w:t>于2018年10月25日（含）起，调整 “乾元—乐溢”90天开放式资产组合型人民币理财产品客户</w:t>
      </w:r>
      <w:proofErr w:type="gramStart"/>
      <w:r w:rsidRPr="00D4084D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D4084D">
        <w:rPr>
          <w:rFonts w:ascii="宋体" w:hAnsi="宋体" w:hint="eastAsia"/>
          <w:color w:val="000000"/>
          <w:sz w:val="28"/>
          <w:szCs w:val="28"/>
        </w:rPr>
        <w:t>，具体如下表：</w:t>
      </w:r>
    </w:p>
    <w:p w:rsidR="00D4084D" w:rsidRPr="00D4084D" w:rsidRDefault="00D4084D" w:rsidP="00D4084D">
      <w:pPr>
        <w:adjustRightInd w:val="0"/>
        <w:snapToGrid w:val="0"/>
        <w:spacing w:line="2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tbl>
      <w:tblPr>
        <w:tblW w:w="35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D4084D" w:rsidRPr="00D4084D" w:rsidTr="00D4084D">
        <w:trPr>
          <w:trHeight w:val="20"/>
          <w:tblHeader/>
          <w:jc w:val="center"/>
        </w:trPr>
        <w:tc>
          <w:tcPr>
            <w:tcW w:w="2609" w:type="dxa"/>
            <w:vAlign w:val="center"/>
            <w:hideMark/>
          </w:tcPr>
          <w:p w:rsidR="00D4084D" w:rsidRPr="00D4084D" w:rsidRDefault="00D4084D" w:rsidP="00D408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D4084D">
              <w:rPr>
                <w:rFonts w:ascii="宋体" w:hAnsi="宋体" w:hint="eastAsia"/>
                <w:color w:val="000000"/>
                <w:sz w:val="22"/>
                <w:szCs w:val="28"/>
              </w:rPr>
              <w:t>产品名称</w:t>
            </w:r>
          </w:p>
        </w:tc>
        <w:tc>
          <w:tcPr>
            <w:tcW w:w="1723" w:type="dxa"/>
            <w:vAlign w:val="center"/>
            <w:hideMark/>
          </w:tcPr>
          <w:p w:rsidR="00D4084D" w:rsidRPr="00D4084D" w:rsidRDefault="00D4084D" w:rsidP="00D408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D4084D">
              <w:rPr>
                <w:rFonts w:ascii="宋体" w:hAnsi="宋体" w:hint="eastAsia"/>
                <w:color w:val="000000"/>
                <w:sz w:val="22"/>
                <w:szCs w:val="28"/>
              </w:rPr>
              <w:t>客户</w:t>
            </w:r>
            <w:proofErr w:type="gramStart"/>
            <w:r w:rsidRPr="00D4084D">
              <w:rPr>
                <w:rFonts w:ascii="宋体" w:hAnsi="宋体" w:hint="eastAsia"/>
                <w:color w:val="000000"/>
                <w:sz w:val="22"/>
                <w:szCs w:val="28"/>
              </w:rPr>
              <w:t>预期年化收益率</w:t>
            </w:r>
            <w:proofErr w:type="gramEnd"/>
          </w:p>
          <w:p w:rsidR="00D4084D" w:rsidRPr="00D4084D" w:rsidRDefault="00D4084D" w:rsidP="00D408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D4084D">
              <w:rPr>
                <w:rFonts w:ascii="宋体" w:hAnsi="宋体" w:hint="eastAsia"/>
                <w:color w:val="000000"/>
                <w:sz w:val="22"/>
                <w:szCs w:val="28"/>
              </w:rPr>
              <w:t>（调整前）</w:t>
            </w:r>
          </w:p>
        </w:tc>
        <w:tc>
          <w:tcPr>
            <w:tcW w:w="1701" w:type="dxa"/>
            <w:vAlign w:val="center"/>
            <w:hideMark/>
          </w:tcPr>
          <w:p w:rsidR="00D4084D" w:rsidRPr="00D4084D" w:rsidRDefault="00D4084D" w:rsidP="00D408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D4084D">
              <w:rPr>
                <w:rFonts w:ascii="宋体" w:hAnsi="宋体" w:hint="eastAsia"/>
                <w:color w:val="000000"/>
                <w:sz w:val="22"/>
                <w:szCs w:val="28"/>
              </w:rPr>
              <w:t>客户</w:t>
            </w:r>
            <w:proofErr w:type="gramStart"/>
            <w:r w:rsidRPr="00D4084D">
              <w:rPr>
                <w:rFonts w:ascii="宋体" w:hAnsi="宋体" w:hint="eastAsia"/>
                <w:color w:val="000000"/>
                <w:sz w:val="22"/>
                <w:szCs w:val="28"/>
              </w:rPr>
              <w:t>预期年化收益率</w:t>
            </w:r>
            <w:proofErr w:type="gramEnd"/>
          </w:p>
          <w:p w:rsidR="00D4084D" w:rsidRPr="00D4084D" w:rsidRDefault="00D4084D" w:rsidP="00D408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D4084D">
              <w:rPr>
                <w:rFonts w:ascii="宋体" w:hAnsi="宋体" w:hint="eastAsia"/>
                <w:color w:val="000000"/>
                <w:sz w:val="22"/>
                <w:szCs w:val="28"/>
              </w:rPr>
              <w:t>（调整后）</w:t>
            </w:r>
          </w:p>
        </w:tc>
      </w:tr>
      <w:tr w:rsidR="00D4084D" w:rsidRPr="00D4084D" w:rsidTr="00D4084D">
        <w:trPr>
          <w:trHeight w:val="479"/>
          <w:jc w:val="center"/>
        </w:trPr>
        <w:tc>
          <w:tcPr>
            <w:tcW w:w="2609" w:type="dxa"/>
            <w:vAlign w:val="center"/>
          </w:tcPr>
          <w:p w:rsidR="00D4084D" w:rsidRPr="00D4084D" w:rsidRDefault="00D4084D" w:rsidP="00D4084D">
            <w:pPr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D4084D">
              <w:rPr>
                <w:rFonts w:ascii="宋体" w:hAnsi="宋体" w:hint="eastAsia"/>
                <w:color w:val="000000"/>
                <w:sz w:val="22"/>
                <w:szCs w:val="28"/>
              </w:rPr>
              <w:t>“乾元—乐溢”90天</w:t>
            </w:r>
          </w:p>
        </w:tc>
        <w:tc>
          <w:tcPr>
            <w:tcW w:w="1723" w:type="dxa"/>
            <w:vAlign w:val="center"/>
          </w:tcPr>
          <w:p w:rsidR="00D4084D" w:rsidRPr="00D4084D" w:rsidRDefault="00D4084D" w:rsidP="00D4084D">
            <w:pPr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D4084D">
              <w:rPr>
                <w:rFonts w:ascii="宋体" w:hAnsi="宋体" w:hint="eastAsia"/>
                <w:color w:val="000000"/>
                <w:sz w:val="22"/>
                <w:szCs w:val="28"/>
              </w:rPr>
              <w:t>4.50%</w:t>
            </w:r>
          </w:p>
        </w:tc>
        <w:tc>
          <w:tcPr>
            <w:tcW w:w="1701" w:type="dxa"/>
            <w:vAlign w:val="center"/>
          </w:tcPr>
          <w:p w:rsidR="00D4084D" w:rsidRPr="00D4084D" w:rsidRDefault="00D4084D" w:rsidP="00D4084D">
            <w:pPr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D4084D">
              <w:rPr>
                <w:rFonts w:ascii="宋体" w:hAnsi="宋体" w:hint="eastAsia"/>
                <w:color w:val="000000"/>
                <w:sz w:val="22"/>
                <w:szCs w:val="28"/>
              </w:rPr>
              <w:t>4.15%</w:t>
            </w:r>
          </w:p>
        </w:tc>
      </w:tr>
    </w:tbl>
    <w:p w:rsidR="00D4084D" w:rsidRPr="00D4084D" w:rsidRDefault="00D4084D" w:rsidP="00D4084D">
      <w:pPr>
        <w:adjustRightInd w:val="0"/>
        <w:snapToGrid w:val="0"/>
        <w:spacing w:line="200" w:lineRule="exact"/>
        <w:jc w:val="left"/>
        <w:rPr>
          <w:rFonts w:ascii="宋体" w:hAnsi="宋体"/>
          <w:color w:val="000000"/>
          <w:sz w:val="28"/>
          <w:szCs w:val="28"/>
        </w:rPr>
      </w:pPr>
    </w:p>
    <w:p w:rsidR="00D4084D" w:rsidRPr="00D4084D" w:rsidRDefault="00D4084D" w:rsidP="00D4084D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4084D">
        <w:rPr>
          <w:rFonts w:ascii="宋体" w:hAnsi="宋体" w:hint="eastAsia"/>
          <w:color w:val="000000"/>
          <w:sz w:val="28"/>
          <w:szCs w:val="28"/>
        </w:rPr>
        <w:t>新客户</w:t>
      </w:r>
      <w:proofErr w:type="gramStart"/>
      <w:r w:rsidRPr="00D4084D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D4084D">
        <w:rPr>
          <w:rFonts w:ascii="宋体" w:hAnsi="宋体" w:hint="eastAsia"/>
          <w:color w:val="000000"/>
          <w:sz w:val="28"/>
          <w:szCs w:val="28"/>
        </w:rPr>
        <w:t>于2018年10月25日（含）起执行。对于2018年10月25日（不含）前已经购买成功且未赎回的存量投资本金，其中封闭期内的份额仍按照购买确认日当日的客户</w:t>
      </w:r>
      <w:proofErr w:type="gramStart"/>
      <w:r w:rsidRPr="00D4084D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D4084D">
        <w:rPr>
          <w:rFonts w:ascii="宋体" w:hAnsi="宋体" w:hint="eastAsia"/>
          <w:color w:val="000000"/>
          <w:sz w:val="28"/>
          <w:szCs w:val="28"/>
        </w:rPr>
        <w:t>计算投资收益，非封闭期内的份额从2018年10月25日（含）起按调整后的</w:t>
      </w:r>
      <w:proofErr w:type="gramStart"/>
      <w:r w:rsidRPr="00D4084D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D4084D">
        <w:rPr>
          <w:rFonts w:ascii="宋体" w:hAnsi="宋体" w:hint="eastAsia"/>
          <w:color w:val="000000"/>
          <w:sz w:val="28"/>
          <w:szCs w:val="28"/>
        </w:rPr>
        <w:t>计算投资收益。2018年10月25日（含）后购买的部分自动执行调整后的客户</w:t>
      </w:r>
      <w:proofErr w:type="gramStart"/>
      <w:r w:rsidRPr="00D4084D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D4084D">
        <w:rPr>
          <w:rFonts w:ascii="宋体" w:hAnsi="宋体" w:hint="eastAsia"/>
          <w:color w:val="000000"/>
          <w:sz w:val="28"/>
          <w:szCs w:val="28"/>
        </w:rPr>
        <w:t>。但前述情形下的最终投资收益均以我</w:t>
      </w:r>
      <w:proofErr w:type="gramStart"/>
      <w:r w:rsidRPr="00D4084D">
        <w:rPr>
          <w:rFonts w:ascii="宋体" w:hAnsi="宋体" w:hint="eastAsia"/>
          <w:color w:val="000000"/>
          <w:sz w:val="28"/>
          <w:szCs w:val="28"/>
        </w:rPr>
        <w:t>行最终</w:t>
      </w:r>
      <w:proofErr w:type="gramEnd"/>
      <w:r w:rsidRPr="00D4084D">
        <w:rPr>
          <w:rFonts w:ascii="宋体" w:hAnsi="宋体" w:hint="eastAsia"/>
          <w:color w:val="000000"/>
          <w:sz w:val="28"/>
          <w:szCs w:val="28"/>
        </w:rPr>
        <w:t>支付的</w:t>
      </w:r>
      <w:proofErr w:type="gramStart"/>
      <w:r w:rsidRPr="00D4084D">
        <w:rPr>
          <w:rFonts w:ascii="宋体" w:hAnsi="宋体" w:hint="eastAsia"/>
          <w:color w:val="000000"/>
          <w:sz w:val="28"/>
          <w:szCs w:val="28"/>
        </w:rPr>
        <w:t>实际年化收益率</w:t>
      </w:r>
      <w:proofErr w:type="gramEnd"/>
      <w:r w:rsidRPr="00D4084D">
        <w:rPr>
          <w:rFonts w:ascii="宋体" w:hAnsi="宋体" w:hint="eastAsia"/>
          <w:color w:val="000000"/>
          <w:sz w:val="28"/>
          <w:szCs w:val="28"/>
        </w:rPr>
        <w:t>为准。</w:t>
      </w:r>
    </w:p>
    <w:p w:rsidR="00322D94" w:rsidRPr="00C26BAD" w:rsidRDefault="00C26BAD" w:rsidP="00C26BAD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lastRenderedPageBreak/>
        <w:t>（一）投资组合的基本情况</w:t>
      </w:r>
    </w:p>
    <w:p w:rsidR="00EB72C1" w:rsidRPr="00EE774A" w:rsidRDefault="00DE0F6B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9F85AC7" wp14:editId="66AA3788">
            <wp:extent cx="3228975" cy="1552575"/>
            <wp:effectExtent l="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DE0F6B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4F071ED" wp14:editId="301EE452">
            <wp:extent cx="3495675" cy="2105025"/>
            <wp:effectExtent l="0" t="0" r="9525" b="95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FF2407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FF2407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EB72C1" w:rsidRPr="005622F6" w:rsidRDefault="00DE0F6B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A94174F" wp14:editId="42CDE4FC">
            <wp:extent cx="5274310" cy="1438226"/>
            <wp:effectExtent l="0" t="0" r="21590" b="1016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355B9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201</w:t>
      </w:r>
      <w:r w:rsidR="009355B9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D4084D">
        <w:rPr>
          <w:rFonts w:ascii="宋体" w:hAnsi="宋体" w:hint="eastAsia"/>
          <w:color w:val="000000"/>
          <w:sz w:val="28"/>
          <w:szCs w:val="28"/>
        </w:rPr>
        <w:t>11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D4084D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9355B9" w:rsidRDefault="009355B9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93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A90" w:rsidRDefault="00C05A90" w:rsidP="00EB72C1">
      <w:r>
        <w:separator/>
      </w:r>
    </w:p>
  </w:endnote>
  <w:endnote w:type="continuationSeparator" w:id="0">
    <w:p w:rsidR="00C05A90" w:rsidRDefault="00C05A90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A90" w:rsidRDefault="00C05A90" w:rsidP="00EB72C1">
      <w:r>
        <w:separator/>
      </w:r>
    </w:p>
  </w:footnote>
  <w:footnote w:type="continuationSeparator" w:id="0">
    <w:p w:rsidR="00C05A90" w:rsidRDefault="00C05A90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15C3C"/>
    <w:rsid w:val="000553D3"/>
    <w:rsid w:val="0006241B"/>
    <w:rsid w:val="00065AA1"/>
    <w:rsid w:val="000B2C54"/>
    <w:rsid w:val="000D0761"/>
    <w:rsid w:val="000D2968"/>
    <w:rsid w:val="001010B7"/>
    <w:rsid w:val="00104B8C"/>
    <w:rsid w:val="00114B18"/>
    <w:rsid w:val="00117631"/>
    <w:rsid w:val="00120E19"/>
    <w:rsid w:val="001318CD"/>
    <w:rsid w:val="00135EF2"/>
    <w:rsid w:val="00153C80"/>
    <w:rsid w:val="00154E49"/>
    <w:rsid w:val="00155EB5"/>
    <w:rsid w:val="00160E9B"/>
    <w:rsid w:val="002156EE"/>
    <w:rsid w:val="002360D7"/>
    <w:rsid w:val="0026063B"/>
    <w:rsid w:val="002720BA"/>
    <w:rsid w:val="00292315"/>
    <w:rsid w:val="002C17A1"/>
    <w:rsid w:val="002D5B11"/>
    <w:rsid w:val="002F4408"/>
    <w:rsid w:val="00301900"/>
    <w:rsid w:val="00322D94"/>
    <w:rsid w:val="00352DAC"/>
    <w:rsid w:val="00363AE3"/>
    <w:rsid w:val="003814AB"/>
    <w:rsid w:val="00396BA1"/>
    <w:rsid w:val="003A425A"/>
    <w:rsid w:val="003D7B24"/>
    <w:rsid w:val="004059BB"/>
    <w:rsid w:val="004B7C4F"/>
    <w:rsid w:val="004F21E8"/>
    <w:rsid w:val="0050636F"/>
    <w:rsid w:val="005612CE"/>
    <w:rsid w:val="005F6A0F"/>
    <w:rsid w:val="0064560B"/>
    <w:rsid w:val="00653309"/>
    <w:rsid w:val="006702FC"/>
    <w:rsid w:val="00670A8D"/>
    <w:rsid w:val="006C2B34"/>
    <w:rsid w:val="006D1AD8"/>
    <w:rsid w:val="006F2D24"/>
    <w:rsid w:val="006F7468"/>
    <w:rsid w:val="007233F9"/>
    <w:rsid w:val="0074424A"/>
    <w:rsid w:val="0074498B"/>
    <w:rsid w:val="008207B8"/>
    <w:rsid w:val="0083782F"/>
    <w:rsid w:val="00841BEC"/>
    <w:rsid w:val="0089118C"/>
    <w:rsid w:val="008E6BEC"/>
    <w:rsid w:val="00916C06"/>
    <w:rsid w:val="009266B9"/>
    <w:rsid w:val="0093399B"/>
    <w:rsid w:val="009355B9"/>
    <w:rsid w:val="009679B1"/>
    <w:rsid w:val="009C2DE7"/>
    <w:rsid w:val="00A352C1"/>
    <w:rsid w:val="00A66F45"/>
    <w:rsid w:val="00AA1355"/>
    <w:rsid w:val="00AC726D"/>
    <w:rsid w:val="00AD1128"/>
    <w:rsid w:val="00AE00F3"/>
    <w:rsid w:val="00B50395"/>
    <w:rsid w:val="00B92EBB"/>
    <w:rsid w:val="00BD6318"/>
    <w:rsid w:val="00C049C7"/>
    <w:rsid w:val="00C05A90"/>
    <w:rsid w:val="00C208D4"/>
    <w:rsid w:val="00C244DD"/>
    <w:rsid w:val="00C2479C"/>
    <w:rsid w:val="00C26BAD"/>
    <w:rsid w:val="00C47675"/>
    <w:rsid w:val="00CB6958"/>
    <w:rsid w:val="00D4084D"/>
    <w:rsid w:val="00D77F41"/>
    <w:rsid w:val="00DC7BA7"/>
    <w:rsid w:val="00DE0F6B"/>
    <w:rsid w:val="00DF530D"/>
    <w:rsid w:val="00E03354"/>
    <w:rsid w:val="00E05231"/>
    <w:rsid w:val="00E242BD"/>
    <w:rsid w:val="00EB2AEC"/>
    <w:rsid w:val="00EB4AFA"/>
    <w:rsid w:val="00EB72C1"/>
    <w:rsid w:val="00EE2894"/>
    <w:rsid w:val="00F031B3"/>
    <w:rsid w:val="00F16B8B"/>
    <w:rsid w:val="00F2214E"/>
    <w:rsid w:val="00F315E7"/>
    <w:rsid w:val="00F4690D"/>
    <w:rsid w:val="00F607E5"/>
    <w:rsid w:val="00F73655"/>
    <w:rsid w:val="00F77176"/>
    <w:rsid w:val="00F92C32"/>
    <w:rsid w:val="00F95DDD"/>
    <w:rsid w:val="00FB2BE7"/>
    <w:rsid w:val="00FC7F15"/>
    <w:rsid w:val="00FD374D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44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97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422123119565801E-2"/>
          <c:y val="8.140154259858623E-2"/>
          <c:w val="0.60528051640685665"/>
          <c:h val="0.8329460057128892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'2018年10月'!$A$417:$A$418</c:f>
              <c:strCache>
                <c:ptCount val="2"/>
                <c:pt idx="0">
                  <c:v>融资类</c:v>
                </c:pt>
                <c:pt idx="1">
                  <c:v>现金及债券类</c:v>
                </c:pt>
              </c:strCache>
            </c:strRef>
          </c:cat>
          <c:val>
            <c:numRef>
              <c:f>'2018年10月'!$B$417:$B$418</c:f>
              <c:numCache>
                <c:formatCode>0.00%</c:formatCode>
                <c:ptCount val="2"/>
                <c:pt idx="0">
                  <c:v>0.36535795592600584</c:v>
                </c:pt>
                <c:pt idx="1">
                  <c:v>0.63464204407399416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343367477295426"/>
          <c:y val="0.31425921453069899"/>
          <c:w val="0.30263535642115535"/>
          <c:h val="0.33783681947731997"/>
        </c:manualLayout>
      </c:layout>
      <c:overlay val="0"/>
      <c:txPr>
        <a:bodyPr/>
        <a:lstStyle/>
        <a:p>
          <a:pPr>
            <a:defRPr sz="800" baseline="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'2018年10月'!$B$425</c:f>
              <c:strCache>
                <c:ptCount val="1"/>
                <c:pt idx="0">
                  <c:v>占比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'2018年10月'!$A$426:$A$429</c:f>
              <c:strCache>
                <c:ptCount val="4"/>
                <c:pt idx="0">
                  <c:v>AA</c:v>
                </c:pt>
                <c:pt idx="1">
                  <c:v>AA-</c:v>
                </c:pt>
                <c:pt idx="2">
                  <c:v>AA+</c:v>
                </c:pt>
                <c:pt idx="3">
                  <c:v>AAA</c:v>
                </c:pt>
              </c:strCache>
            </c:strRef>
          </c:cat>
          <c:val>
            <c:numRef>
              <c:f>'2018年10月'!$B$426:$B$429</c:f>
              <c:numCache>
                <c:formatCode>0.00%</c:formatCode>
                <c:ptCount val="4"/>
                <c:pt idx="0">
                  <c:v>0.29179417787227147</c:v>
                </c:pt>
                <c:pt idx="1">
                  <c:v>0.51915720830287859</c:v>
                </c:pt>
                <c:pt idx="2">
                  <c:v>2.0150140036756543E-2</c:v>
                </c:pt>
                <c:pt idx="3">
                  <c:v>0.16889847378809333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'2018年10月'!$B$433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'2018年10月'!$A$434:$A$437</c:f>
              <c:strCache>
                <c:ptCount val="4"/>
                <c:pt idx="0">
                  <c:v>卫生、社会保障和社会福利业</c:v>
                </c:pt>
                <c:pt idx="1">
                  <c:v>租赁和商务服务业</c:v>
                </c:pt>
                <c:pt idx="2">
                  <c:v>房地产业</c:v>
                </c:pt>
                <c:pt idx="3">
                  <c:v>建筑业</c:v>
                </c:pt>
              </c:strCache>
            </c:strRef>
          </c:cat>
          <c:val>
            <c:numRef>
              <c:f>'2018年10月'!$B$434:$B$437</c:f>
              <c:numCache>
                <c:formatCode>0.00%</c:formatCode>
                <c:ptCount val="4"/>
                <c:pt idx="0">
                  <c:v>2.0150140036756543E-2</c:v>
                </c:pt>
                <c:pt idx="1">
                  <c:v>0.70558402024041267</c:v>
                </c:pt>
                <c:pt idx="2">
                  <c:v>0.20709870626697566</c:v>
                </c:pt>
                <c:pt idx="3">
                  <c:v>6.7167133455855135E-2</c:v>
                </c:pt>
              </c:numCache>
            </c:numRef>
          </c:val>
        </c:ser>
        <c:ser>
          <c:idx val="1"/>
          <c:order val="1"/>
          <c:tx>
            <c:strRef>
              <c:f>'2018年10月'!$C$433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'2018年10月'!$A$434:$A$437</c:f>
              <c:strCache>
                <c:ptCount val="4"/>
                <c:pt idx="0">
                  <c:v>卫生、社会保障和社会福利业</c:v>
                </c:pt>
                <c:pt idx="1">
                  <c:v>租赁和商务服务业</c:v>
                </c:pt>
                <c:pt idx="2">
                  <c:v>房地产业</c:v>
                </c:pt>
                <c:pt idx="3">
                  <c:v>建筑业</c:v>
                </c:pt>
              </c:strCache>
            </c:strRef>
          </c:cat>
          <c:val>
            <c:numRef>
              <c:f>'2018年10月'!$C$434:$C$437</c:f>
              <c:numCache>
                <c:formatCode>0.00%</c:formatCode>
                <c:ptCount val="4"/>
                <c:pt idx="0">
                  <c:v>1.9082067328275866E-2</c:v>
                </c:pt>
                <c:pt idx="1">
                  <c:v>0.66818403025601714</c:v>
                </c:pt>
                <c:pt idx="2">
                  <c:v>0.24912701132145415</c:v>
                </c:pt>
                <c:pt idx="3">
                  <c:v>6.3606891094252882E-2</c:v>
                </c:pt>
              </c:numCache>
            </c:numRef>
          </c:val>
        </c:ser>
        <c:ser>
          <c:idx val="2"/>
          <c:order val="2"/>
          <c:tx>
            <c:strRef>
              <c:f>'2018年10月'!$D$433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'2018年10月'!$A$434:$A$437</c:f>
              <c:strCache>
                <c:ptCount val="4"/>
                <c:pt idx="0">
                  <c:v>卫生、社会保障和社会福利业</c:v>
                </c:pt>
                <c:pt idx="1">
                  <c:v>租赁和商务服务业</c:v>
                </c:pt>
                <c:pt idx="2">
                  <c:v>房地产业</c:v>
                </c:pt>
                <c:pt idx="3">
                  <c:v>建筑业</c:v>
                </c:pt>
              </c:strCache>
            </c:strRef>
          </c:cat>
          <c:val>
            <c:numRef>
              <c:f>'2018年10月'!$D$434:$D$437</c:f>
              <c:numCache>
                <c:formatCode>0.00%</c:formatCode>
                <c:ptCount val="4"/>
                <c:pt idx="0">
                  <c:v>1.0680727084806767E-3</c:v>
                </c:pt>
                <c:pt idx="1">
                  <c:v>3.7399989984395532E-2</c:v>
                </c:pt>
                <c:pt idx="2">
                  <c:v>-4.2028305054478493E-2</c:v>
                </c:pt>
                <c:pt idx="3">
                  <c:v>3.5602423616022533E-3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976064"/>
        <c:axId val="67990272"/>
      </c:barChart>
      <c:catAx>
        <c:axId val="539760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7990272"/>
        <c:crosses val="autoZero"/>
        <c:auto val="1"/>
        <c:lblAlgn val="ctr"/>
        <c:lblOffset val="100"/>
        <c:noMultiLvlLbl val="0"/>
      </c:catAx>
      <c:valAx>
        <c:axId val="67990272"/>
        <c:scaling>
          <c:orientation val="minMax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53976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2018-11-02T10:07:00Z</dcterms:created>
  <dcterms:modified xsi:type="dcterms:W3CDTF">2018-11-02T10:07:00Z</dcterms:modified>
</cp:coreProperties>
</file>